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57" w:rsidRPr="00CA1957" w:rsidRDefault="00CA1957" w:rsidP="00CA19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>Формирование сенсорных представлений детей раннего возраста средствами природы ближайшего окружения</w:t>
      </w:r>
    </w:p>
    <w:p w:rsidR="00CA1957" w:rsidRPr="00CA1957" w:rsidRDefault="00CA1957" w:rsidP="00CA19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Система работы по развитию сенсорных представлений при ознакомлении с природой</w:t>
      </w:r>
    </w:p>
    <w:p w:rsidR="00CA1957" w:rsidRPr="00B8249F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Педагогические исследования свидетельствуют, что значительная часть трудностей, возникающих перед детьми в ходе начального обучения в школе, связана с недостаточной точностью и гибкостью восприятия как процесса отражения предмета или явления через воздействие на органы чувств.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настоящее время есть множество средств, которые позволяют развивать сенсорные способности детей, знакомить их с предметами и явлениями: это фотографии, схемы, рисунки, чертежи; стали доступными новые компьютерные технологии и интернет, но не стоит забывать и о том, что ребёнка с раннего детства окружает удивительный мир живой природы, полный ярких красок, разнообразных форм, звуков и запахов.</w:t>
      </w:r>
      <w:proofErr w:type="gramEnd"/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</w:t>
      </w:r>
      <w:r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ля лучшего развития сенсорных способностей детей, особенно раннего </w:t>
      </w:r>
      <w:proofErr w:type="gramStart"/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возраста</w:t>
      </w:r>
      <w:proofErr w:type="gramEnd"/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необходимо живое общение детей с миром природы, наблюдения, а так же труд в природе.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Поэтому </w:t>
      </w:r>
      <w:r w:rsidRPr="00CA1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работы </w:t>
      </w:r>
      <w:r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становится 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развитие сенсорных способностей детей раннего возраста.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A1957" w:rsidRPr="00CA1957" w:rsidRDefault="00CA1957" w:rsidP="00CA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Воспитывать доброе, гуманное отношение детей к миру природы.</w:t>
      </w:r>
    </w:p>
    <w:p w:rsidR="00CA1957" w:rsidRPr="00CA1957" w:rsidRDefault="00CA1957" w:rsidP="00CA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Учить детей наблюдать, видеть интересное в природе, вокруг себя.</w:t>
      </w:r>
    </w:p>
    <w:p w:rsidR="00CA1957" w:rsidRPr="00CA1957" w:rsidRDefault="00CA1957" w:rsidP="00CA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Учить детей обследовать предметы, выделяя их цвет, величину, форму.</w:t>
      </w:r>
    </w:p>
    <w:p w:rsidR="00CA1957" w:rsidRPr="00CA1957" w:rsidRDefault="00CA1957" w:rsidP="00CA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Развивать восприятие детей, умение активно использовать зрение, слух, обоняние, осязание.</w:t>
      </w:r>
    </w:p>
    <w:p w:rsidR="00CA1957" w:rsidRPr="00CA1957" w:rsidRDefault="00CA1957" w:rsidP="00CA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Формировать простейшие перцептивные действия (погладить, надавить, понюхать и т.д.).</w:t>
      </w:r>
    </w:p>
    <w:p w:rsidR="00CA1957" w:rsidRPr="00CA1957" w:rsidRDefault="00CA1957" w:rsidP="00CA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Для решения этих задач я использовала 3 основные формы работы по развитию сенсорных способностей у детей: обучение в процессе НОД, на прогулке, в ходе наблюдения за природными объектами и в индивидуальной работе, а также в свободной деятельности детей через игры.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Учить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детей видеть сходство и различие предметов по опреде</w:t>
      </w:r>
      <w:r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лённым признакам. Дети осваивают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такие понятия, как цвет, форма, размер.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Развитие сенсорных способностей невозможно без развития речи детей. </w:t>
      </w:r>
      <w:proofErr w:type="gramStart"/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Их словарь обогащается такими словами как: большой, маленький, высокий, низкий, красный, синий, зеленый, жёлтый и т.д.</w:t>
      </w:r>
      <w:proofErr w:type="gramEnd"/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 На первых этапах работы</w:t>
      </w:r>
      <w:r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можно использоват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ь задания типа: «Найди</w:t>
      </w:r>
      <w:r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такой же». Предметы сравниват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ь по одному из признаков. Работа в</w:t>
      </w:r>
      <w:r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этом направлении активно ведется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на прогулке. Напр</w:t>
      </w:r>
      <w:r w:rsidR="00DD21FD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имер, когда воспитатели с детьми наблюдают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цветочную </w:t>
      </w:r>
      <w:r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клумбу на участке детского сада, то сначала мы любуемся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разнообразие</w:t>
      </w:r>
      <w:r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 цветов, ярких красок, получаем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общее положительное вп</w:t>
      </w:r>
      <w:r w:rsidR="00DD21FD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ечатление от наблюдения, затем  обращаем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внимание детей</w:t>
      </w:r>
      <w:r w:rsidR="00DD21FD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</w:t>
      </w:r>
      <w:r w:rsidR="00DD21FD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 какой либо цветок и предлагаем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показать цветок такого же цвета. Такие задания хорошо воспринимаются детьми, и они с удовольствием выполняют их. Для сравнения предметов по форме </w:t>
      </w:r>
      <w:r w:rsidR="00DD21FD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нужно использовать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листья растений, например, рассматривая </w:t>
      </w:r>
      <w:r w:rsidR="00DD21FD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 знакомясь с деревом берёзой,  обращать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внимание детей на форму листа независимо от его цвета и предлагала детям найти такой же (по форме) и показать его.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 Природа даёт нам огромные возможности для развития </w:t>
      </w:r>
      <w:proofErr w:type="spellStart"/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сенсорики</w:t>
      </w:r>
      <w:proofErr w:type="spellEnd"/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чувств, речи, движений.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Основной метод обучения на прогулке это наблюдение. Но у маленьких детей (2 – 3 года) наблюдательность, как качество личности, развита очень слабо, поэтому </w:t>
      </w:r>
      <w:r w:rsidR="00DD21FD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наша задача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- учить и поддерживать стремление детей замечать изменения в природе и привлекать их внимание к чему-то упущенному, не оставляя это на потом.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На прогулке ребёнок сталкивается с массой отвлекающих моментов: пролетела бабочка, проехала машина и т.д., поэтому, чтобы удерж</w:t>
      </w:r>
      <w:r w:rsidR="00DD21FD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ать внимание ребёнка, наблюдения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D21FD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проводятся короткие (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5-7 минут),</w:t>
      </w:r>
      <w:r w:rsidR="00DD21FD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яркие, интересные и содержательные. Этому способствует, во-первых, правильный выбор объекта наблюдения, всплеск положительных эмоций малыша при виде их, во-вторых, образная речь взрослого.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</w:t>
      </w:r>
      <w:r w:rsidR="00DD21FD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Обязательно всегда использовать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стихотворные тексты, загадки, пословицы, которые воспринимаются детьми с большим интересом, обогащают их словарный </w:t>
      </w:r>
      <w:r w:rsidR="00DD21FD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запас, развиваю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 эстетические чувства</w:t>
      </w:r>
      <w:r w:rsidR="00DD21FD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DD21FD" w:rsidRPr="00B8249F" w:rsidRDefault="00DD21FD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Например, при наблюдении з</w:t>
      </w:r>
      <w:r w:rsidR="00CA1957"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 ромашкой: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«Стоит в саду кудряшка,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Белая рубашка,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Сердечко золотое</w:t>
      </w:r>
    </w:p>
    <w:p w:rsidR="00DD21FD" w:rsidRPr="00B8249F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Что это такое?» (ромашка)</w:t>
      </w:r>
    </w:p>
    <w:p w:rsidR="00CA1957" w:rsidRPr="00CA1957" w:rsidRDefault="00DD21FD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За </w:t>
      </w:r>
      <w:r w:rsidR="00CA1957"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Осенью: «Падают, падают листья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нашем саду листопад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Желтые, красные листья,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По ветру вьются, летят» 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 воробьём: «Скачет, скачет воробей,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Кличет маленьких детей,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Киньте крошек воробью.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 вам песенку спою.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«Чик-чирик»». 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 ёлкой: «Её всегда в лесу найдёшь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Пойдешь гулять и встретишь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Стоит </w:t>
      </w:r>
      <w:proofErr w:type="gramStart"/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колючая</w:t>
      </w:r>
      <w:proofErr w:type="gramEnd"/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как еж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Зимою в платье летнем»    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Большое значение при работе</w:t>
      </w:r>
      <w:r w:rsidR="00DD21FD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 детьми имеют подвижные игры, например: «Раз, два, три……беги»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="00DD21FD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«высокий», «низкий»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(дерево высокое и низкое) </w:t>
      </w:r>
      <w:r w:rsidR="00DD21FD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детям нужно объяснять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правила </w:t>
      </w:r>
      <w:r w:rsidR="00DD21FD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игры, затем говорить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 «Раз, два, три к высокой берёзе беги!», или «Раз, два, три, к низкой берёзе беги!» - такая игра очень нравится детям, она развивает их мышление, сенсорные способности, даёт возможность поупражнять их в беге и создаёт положительный эмоциональный настрой. Для того</w:t>
      </w:r>
      <w:proofErr w:type="gramStart"/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proofErr w:type="gramEnd"/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чтобы заинтересовать малышей,</w:t>
      </w:r>
      <w:r w:rsidR="00DD21FD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можно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D21FD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иногда брать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прогулку игрушки: куклу, </w:t>
      </w:r>
      <w:r w:rsidR="00DD21FD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мишку и т. д. Тогда используются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такие игровые упражнения: «Покажи мишке красн</w:t>
      </w:r>
      <w:r w:rsidR="00D60A4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ый, (желтый, зелёный) листочек».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«Принеси мишутке один большой и</w:t>
      </w:r>
      <w:r w:rsidR="00DD21FD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60A4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один маленький листочек». 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«Покажем кукле </w:t>
      </w:r>
      <w:r w:rsidR="00F55C8E"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Кате,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где растут широкие (</w:t>
      </w:r>
      <w:r w:rsidR="00D60A45"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узкие),</w:t>
      </w:r>
      <w:r w:rsidR="00D60A4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листочки».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«Выбери для Кати красный (жёлтый) цветок».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Для того чтобы дать</w:t>
      </w:r>
      <w:r w:rsidR="00DD21FD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детям понятие толстый, тонкий 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предлагается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им поочерёдно обхватить ствол толстого дерева, вдвоём, втроём затем</w:t>
      </w:r>
      <w:r w:rsidR="00F55C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показ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ывая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что тонкий ствол можно обхватить даже одной рукой.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Во второй младшей группе дети учатся различать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три градации величины. В этом В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ам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могут помочь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такие упражнения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как</w:t>
      </w:r>
      <w:r w:rsidR="00F55C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: «Найди листочки: 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большой, средний и маленький», 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 По</w:t>
      </w:r>
      <w:r w:rsidR="00D60A4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дбеги к высокому дереву» и т.д.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 Во время наблюдений в природе дети получают множество впечатлений. Знакомя детей с разнообразными деревьями, 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обращайте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их внимание на то, что стволы некоторых – гладкие (берёза), а у других (ель) – всегда шероховатые. Для того чтобы понять смысл этих слов детям нужно всего лишь дотронуться рукой, погладить ствол. Вначале некоторые дети –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даже бояться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подойти близко к 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дереву, постепенно боязнь </w:t>
      </w:r>
      <w:r w:rsidR="00D60A45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проходит,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в</w:t>
      </w:r>
      <w:r w:rsidR="00F55C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се дети с удовольствием трогают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рассматривают, обнимают, нюхают исследуемые объекты.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 На огороде детского сада весной были 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посажены разнообразные овощи. Можно совместно с детьми сажать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крупные семена: бобы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горох, а так же лук. Для того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чтобы правильно посадить лук, необходимо было провести обследование луковицы, обратить внимание детей, какого цвета луковица, какой формы, что у неё есть верхняя и нижняя 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части. Для того чтобы лук вырос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нужно его посадить донышком вниз. Впоследствии ухаживая за посадками, дети учатся о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пределять, нужно ли полить лук, обращая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внимание детей на цвет земли, предлага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потрогать её рукой – если она сухая, значит нужно полить лук. При этом не только з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акрепляются навыки обследования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но и воспитывается заботливое отношение к растениям.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Неизгладимое впечатление на детей производит участие в сборе урожая. Собранные овощи, затем приносятся в группу. Здесь 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же рассматривают их, уточняют их цвет</w:t>
      </w:r>
      <w:proofErr w:type="gramStart"/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,</w:t>
      </w:r>
      <w:proofErr w:type="gramEnd"/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форму, пробуют на вкус, выясняют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что морковка –продолговатая, оранжевая, твёрдая, сладкая. Помидор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- круглый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бывает красного, зелёного, жёлтого цвета, мягче, чем морковь. Дети учатся таким приёмам обследования, как – потрогать, надави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ть, понюхать и т.д., обогащая 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сенсорный опыт, а также речь. После знакомства с овощами с детьми проводилась игра 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«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Чудес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ный мешочек». Овощи складываются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непроз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рачный мешочек, дети должны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достать морковь, лук или помидор. 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После того, как ребёнок достает овощ, уточняет, 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что это именно: лук или морковь. Эта игра очень нравится детям. Она расширяет представления об овощах, а также развивает речь. При проведении этой игры можно использовать загадки:</w:t>
      </w:r>
    </w:p>
    <w:p w:rsidR="00CA1957" w:rsidRPr="00CA1957" w:rsidRDefault="00CA1957" w:rsidP="00CA19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«Я расту на грядке длинная,</w:t>
      </w:r>
      <w:r w:rsidR="00D60A4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оранжевая, сладкая» (</w:t>
      </w:r>
      <w:r w:rsidR="00F55C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Морковь)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«Круглый, гладкий бочок, кто же это?» (Лучок).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Нужно учить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детей различать не только цвет, форму и 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размер предметов, но и знакомить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их с запахами. Для этого 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надо принести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группу нескол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ько овощей и фруктов, предложить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рассмотреть их, прави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льно назвать, затем их разрезать и давать детям понюхать. Они вспоминают, а некоторые узнают</w:t>
      </w:r>
      <w:r w:rsidR="00F55C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как пахнет тот или иной фрукт или овощ. После этого проводилас</w:t>
      </w:r>
      <w:r w:rsidR="00F55C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ь игра «Отгадай, что на тарелке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». Ребёнок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 закрытыми глазами определяет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 запаху</w:t>
      </w:r>
      <w:r w:rsidR="00F55C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что перед ним. Почти все дети справились с этим заданием безошибочно.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Эти сенсорные качества пригодятся им в течение всей жизни.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После того, как дети познакомились с эталонами цвета, 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можно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использовать их для уточнения цвета окружающих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предметов. Для этого показать</w:t>
      </w:r>
      <w:r w:rsidR="00F55C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эталон, например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карт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очку красного цвета и предложить: выбрать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всё красно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е. Дети с интересом воспринимают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такие задания, а если испытывают затруднения, то результат достигается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совместными усилиями.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 Такие же упражнения можно проводить и с эталонами формы. Для этого можно использовать различные природные материалы: овощи, фрукты,</w:t>
      </w:r>
      <w:r w:rsidR="007B0DF6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камешки, шишки, листья деревьев.</w:t>
      </w:r>
    </w:p>
    <w:p w:rsidR="00CA1957" w:rsidRPr="00CA1957" w:rsidRDefault="007B0DF6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Дети очень радуются, когда к ни</w:t>
      </w:r>
      <w:r w:rsidR="00CA1957"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 на занятие или на прогулку приходит какой-то персонаж, например, Незнайка. Незнайка выполняет задания, например - «Принеси жёлтый листочек». Иногда он ошибается (специально) и дети с удовольствием исправляют его ошибку. Иногда Незнайка просит детей помочь ему, например, разложить камушки, от </w:t>
      </w:r>
      <w:proofErr w:type="gramStart"/>
      <w:r w:rsidR="00CA1957"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большого</w:t>
      </w:r>
      <w:proofErr w:type="gramEnd"/>
      <w:r w:rsidR="00CA1957"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маленькому. В играх «Что перепутал Незнайка», «Помоги Незнайке найти ошибку» целью является исправление ошибки самими детьми. Это помогает детям обрести уверенность в своих силах, закрепить полученные знания.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В песочнице тоже не теряем время даром. Дети учатся узнавать свойства песка, ведь если он сухой из него не получиться куличик</w:t>
      </w:r>
      <w:r w:rsidR="00B87FA2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При постройке куличей уточняют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цвет</w:t>
      </w:r>
      <w:r w:rsidR="00B87FA2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ведёрка, его размер, сравнивают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куличики по</w:t>
      </w:r>
      <w:r w:rsidR="00B87FA2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размеру, по высоте – закрепляют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знания полученные раннее. 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 В группе, в уголке природы </w:t>
      </w:r>
      <w:r w:rsidR="00B87FA2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можно использовать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B87FA2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ёмкость с водой.  В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оду </w:t>
      </w:r>
      <w:r w:rsidR="00B87FA2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используют 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для определения тяжелый – лёгкий (камень тонет, шишка плавает). Игра с водой «Вылови рыбку» воспринимается детьми с неизме</w:t>
      </w:r>
      <w:r w:rsidR="00B87FA2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нным восторгом. Ведь рыбки 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тоже разные по цвету форме, размеру. И если удаётся выловить ту, нуж</w:t>
      </w:r>
      <w:r w:rsidR="00B87FA2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ную, это – победа! Перед игрой  уточнить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:- «Илюша, какая рыбка тебе больше нравится, эта? Какая она?» (синенькая, маленькая). В этой игре закрепляются сенсорные представления, развивается глазомер, ловкость рук, речь детей, воспитывается настойчивость.</w:t>
      </w:r>
    </w:p>
    <w:p w:rsidR="00B87FA2" w:rsidRPr="00B8249F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 Так же в уголке природы </w:t>
      </w:r>
      <w:r w:rsidR="00B87FA2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можно использовать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коллекция камней. Они разнообразны по форме, цвету, размеру, поверхности. Здесь дети выполняют следующие задания: «Выбери самый большой</w:t>
      </w:r>
      <w:r w:rsidR="00B87FA2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</w:t>
      </w:r>
      <w:r w:rsidR="00D60A45"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маленький),</w:t>
      </w:r>
      <w:r w:rsidR="00D60A4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камушек», «Найди самый гладкий, шерохо</w:t>
      </w:r>
      <w:r w:rsidR="00D60A4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ватый». Дети могут выстраивать 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ряды от </w:t>
      </w:r>
      <w:proofErr w:type="gramStart"/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большого</w:t>
      </w:r>
      <w:proofErr w:type="gramEnd"/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маленькому. </w:t>
      </w:r>
    </w:p>
    <w:p w:rsidR="00CA1957" w:rsidRPr="00CA1957" w:rsidRDefault="00B87FA2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Знакомство детей</w:t>
      </w:r>
      <w:r w:rsidR="00CA1957"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 различными з</w:t>
      </w:r>
      <w:r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вуками. Для этого используем музыкальные инструменты, и играем в  игру: «Угадай, что звучит». На прогулке  слушаем</w:t>
      </w:r>
      <w:r w:rsidR="00CA1957"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щебет птиц, чирикание воробья, карканье вороны, мяуканье кошки.</w:t>
      </w:r>
      <w:r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Дети с удовольствием запоминают, а потом и узнают</w:t>
      </w:r>
      <w:r w:rsidR="00CA1957"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эти звуки. Игра «</w:t>
      </w:r>
      <w:r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Отгадай, что звучит» проводиться</w:t>
      </w:r>
      <w:r w:rsidR="00CA1957"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по-другому (с использованием прир</w:t>
      </w:r>
      <w:r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одных материалов). Дети узнают</w:t>
      </w:r>
      <w:r w:rsidR="00CA1957"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звук переливающейся воды, шорох листьев, стук шишек друг о друга, стук камешков, всплеск воды при падении предмета.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Занятия с детьми по сенсорному воспитанию, а так же наб</w:t>
      </w:r>
      <w:r w:rsidR="00B87FA2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людения в природе способствуют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развитию сенсорной </w:t>
      </w:r>
      <w:r w:rsidR="00B87FA2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культуры детей, совершенствуют восприятию, развивают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умение наблюдать, воспитывали гуманное отношение к природе.</w:t>
      </w:r>
    </w:p>
    <w:p w:rsidR="00D60A45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Организация предметно – развивающей среды в группе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Организуя предметно - развивающую среду в своей группе </w:t>
      </w:r>
      <w:r w:rsidR="00B87FA2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нужно стараться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чтобы в окружении детей находились стимулирующие его развитие</w:t>
      </w:r>
      <w:r w:rsidR="00B87FA2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материалы: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Материалы, использующиеся в процессе специально – организованного обучения.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Иной, но похожий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 Свободный, т. е позволяющий ребёнку применить усвоенные средства си способы познания в других обстоятельствах.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Вся предметно-развивающая среда в группе представляет четыре направления развития ребёнка и подчиняется принципу интеграции. Так, в каждом из центров представлены материалы и атрибуты с ярко выраженными сенсорными признаками.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</w:t>
      </w:r>
      <w:r w:rsidR="00B87FA2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Подробно остановимся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развивающем и дидактическом материале по сенсорному развитию детей в центре природы. Там есть множество игр по усвоению и закреплению детьми форм, размеров, величины, например, «Найди такой же», «Большие и маленькие», «Чьи детки?», коллекция камней, разных по цвету, форме и величине.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центре природы расположены разнообразные природные материалы: вода, песок и яркие красочные наборы для игры и экспериментирования с песком и водой, различные шишки, желуди, ракушки, коллекции камешков. Также там представлено оборудование для проведения простейших опытов: губки воронки, ёмкости для переливания воды и песка, фартучки для детей.</w:t>
      </w:r>
    </w:p>
    <w:p w:rsidR="00CA1957" w:rsidRPr="00CA1957" w:rsidRDefault="00CA1957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Предметно-развивающая среда группы</w:t>
      </w:r>
      <w:r w:rsidR="00B8249F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материалы должны соответствовать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возрасту детей, т.е. </w:t>
      </w:r>
      <w:r w:rsidR="00B8249F"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эстетичный, безопасный, доступный для детей и имеется в достаточном количестве.</w:t>
      </w:r>
    </w:p>
    <w:p w:rsidR="00CA1957" w:rsidRDefault="00B8249F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24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Таким образом, в группе создаются</w:t>
      </w:r>
      <w:r w:rsidR="00CA1957" w:rsidRPr="00CA19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необходимые условия для развития сенсорных способностей детей, которые обеспечивают самостоятельную, индивидуальную и совместную деятельность.</w:t>
      </w:r>
    </w:p>
    <w:p w:rsidR="00BE5B42" w:rsidRDefault="00BE5B42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BE5B42" w:rsidRDefault="00BE5B42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BE5B42" w:rsidRDefault="00BE5B42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BE5B42" w:rsidRDefault="00BE5B42" w:rsidP="00CA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37976" w:rsidRDefault="00D37976">
      <w:bookmarkStart w:id="0" w:name="_GoBack"/>
      <w:bookmarkEnd w:id="0"/>
    </w:p>
    <w:sectPr w:rsidR="00D37976" w:rsidSect="00CA19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925"/>
    <w:multiLevelType w:val="multilevel"/>
    <w:tmpl w:val="0790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F25A6"/>
    <w:multiLevelType w:val="multilevel"/>
    <w:tmpl w:val="2398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5F"/>
    <w:rsid w:val="005B31C0"/>
    <w:rsid w:val="007B0DF6"/>
    <w:rsid w:val="0094375F"/>
    <w:rsid w:val="00B8249F"/>
    <w:rsid w:val="00B87FA2"/>
    <w:rsid w:val="00BE5B42"/>
    <w:rsid w:val="00CA1957"/>
    <w:rsid w:val="00D37976"/>
    <w:rsid w:val="00D60A45"/>
    <w:rsid w:val="00DD21FD"/>
    <w:rsid w:val="00F5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31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A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1957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31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A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195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4</cp:revision>
  <cp:lastPrinted>2014-10-24T13:43:00Z</cp:lastPrinted>
  <dcterms:created xsi:type="dcterms:W3CDTF">2014-10-24T11:56:00Z</dcterms:created>
  <dcterms:modified xsi:type="dcterms:W3CDTF">2015-02-14T17:38:00Z</dcterms:modified>
</cp:coreProperties>
</file>